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8E" w:rsidRPr="00D1348E" w:rsidRDefault="00D1348E" w:rsidP="00D1348E">
      <w:pPr>
        <w:widowControl/>
        <w:jc w:val="center"/>
        <w:rPr>
          <w:rFonts w:ascii="微软雅黑" w:eastAsia="微软雅黑" w:hAnsi="微软雅黑" w:cs="Tahoma"/>
          <w:color w:val="428EDC"/>
          <w:kern w:val="0"/>
          <w:sz w:val="39"/>
          <w:szCs w:val="39"/>
        </w:rPr>
      </w:pPr>
      <w:r w:rsidRPr="00D1348E">
        <w:rPr>
          <w:rFonts w:ascii="微软雅黑" w:eastAsia="微软雅黑" w:hAnsi="微软雅黑" w:cs="Tahoma" w:hint="eastAsia"/>
          <w:color w:val="428EDC"/>
          <w:kern w:val="0"/>
          <w:sz w:val="39"/>
          <w:szCs w:val="39"/>
        </w:rPr>
        <w:t>科技部关于发布国家重点研发计划重大慢性非传染性疾病防控研究等重点专项2016年度项目申报指南的通知</w:t>
      </w:r>
    </w:p>
    <w:p w:rsidR="00D1348E" w:rsidRPr="00D1348E" w:rsidRDefault="00D1348E" w:rsidP="00D1348E">
      <w:pPr>
        <w:widowControl/>
        <w:spacing w:line="600" w:lineRule="atLeast"/>
        <w:jc w:val="center"/>
        <w:rPr>
          <w:rFonts w:ascii="Tahoma" w:eastAsia="宋体" w:hAnsi="Tahoma" w:cs="Tahoma"/>
          <w:color w:val="999999"/>
          <w:kern w:val="0"/>
          <w:sz w:val="18"/>
          <w:szCs w:val="18"/>
        </w:rPr>
      </w:pPr>
      <w:r w:rsidRPr="00D1348E">
        <w:rPr>
          <w:rFonts w:ascii="Tahoma" w:eastAsia="宋体" w:hAnsi="Tahoma" w:cs="Tahoma"/>
          <w:color w:val="999999"/>
          <w:kern w:val="0"/>
          <w:sz w:val="18"/>
          <w:szCs w:val="18"/>
        </w:rPr>
        <w:t>发布时间：</w:t>
      </w:r>
      <w:r w:rsidRPr="00D1348E">
        <w:rPr>
          <w:rFonts w:ascii="Tahoma" w:eastAsia="宋体" w:hAnsi="Tahoma" w:cs="Tahoma"/>
          <w:color w:val="999999"/>
          <w:kern w:val="0"/>
          <w:sz w:val="18"/>
          <w:szCs w:val="18"/>
        </w:rPr>
        <w:t xml:space="preserve"> 2016</w:t>
      </w:r>
      <w:r w:rsidRPr="00D1348E">
        <w:rPr>
          <w:rFonts w:ascii="Tahoma" w:eastAsia="宋体" w:hAnsi="Tahoma" w:cs="Tahoma"/>
          <w:color w:val="999999"/>
          <w:kern w:val="0"/>
          <w:sz w:val="18"/>
          <w:szCs w:val="18"/>
        </w:rPr>
        <w:t>年</w:t>
      </w:r>
      <w:r w:rsidRPr="00D1348E">
        <w:rPr>
          <w:rFonts w:ascii="Tahoma" w:eastAsia="宋体" w:hAnsi="Tahoma" w:cs="Tahoma"/>
          <w:color w:val="999999"/>
          <w:kern w:val="0"/>
          <w:sz w:val="18"/>
          <w:szCs w:val="18"/>
        </w:rPr>
        <w:t>04</w:t>
      </w:r>
      <w:r w:rsidRPr="00D1348E">
        <w:rPr>
          <w:rFonts w:ascii="Tahoma" w:eastAsia="宋体" w:hAnsi="Tahoma" w:cs="Tahoma"/>
          <w:color w:val="999999"/>
          <w:kern w:val="0"/>
          <w:sz w:val="18"/>
          <w:szCs w:val="18"/>
        </w:rPr>
        <w:t>月</w:t>
      </w:r>
      <w:r w:rsidRPr="00D1348E">
        <w:rPr>
          <w:rFonts w:ascii="Tahoma" w:eastAsia="宋体" w:hAnsi="Tahoma" w:cs="Tahoma"/>
          <w:color w:val="999999"/>
          <w:kern w:val="0"/>
          <w:sz w:val="18"/>
          <w:szCs w:val="18"/>
        </w:rPr>
        <w:t>07</w:t>
      </w:r>
      <w:r w:rsidRPr="00D1348E">
        <w:rPr>
          <w:rFonts w:ascii="Tahoma" w:eastAsia="宋体" w:hAnsi="Tahoma" w:cs="Tahoma"/>
          <w:color w:val="999999"/>
          <w:kern w:val="0"/>
          <w:sz w:val="18"/>
          <w:szCs w:val="18"/>
        </w:rPr>
        <w:t>日</w:t>
      </w:r>
      <w:r w:rsidRPr="00D1348E">
        <w:rPr>
          <w:rFonts w:ascii="Tahoma" w:eastAsia="宋体" w:hAnsi="Tahoma" w:cs="Tahoma"/>
          <w:color w:val="999999"/>
          <w:kern w:val="0"/>
          <w:sz w:val="18"/>
          <w:szCs w:val="18"/>
        </w:rPr>
        <w:t xml:space="preserve"> </w:t>
      </w:r>
      <w:r w:rsidRPr="00D1348E">
        <w:rPr>
          <w:rFonts w:ascii="Tahoma" w:eastAsia="宋体" w:hAnsi="Tahoma" w:cs="Tahoma"/>
          <w:color w:val="999999"/>
          <w:kern w:val="0"/>
          <w:sz w:val="18"/>
          <w:szCs w:val="18"/>
        </w:rPr>
        <w:t>来源：科学技术部</w:t>
      </w:r>
    </w:p>
    <w:p w:rsidR="00D1348E" w:rsidRPr="00D1348E" w:rsidRDefault="00D1348E" w:rsidP="00D1348E">
      <w:pPr>
        <w:widowControl/>
        <w:snapToGrid w:val="0"/>
        <w:spacing w:line="450" w:lineRule="atLeast"/>
        <w:jc w:val="center"/>
        <w:rPr>
          <w:rFonts w:ascii="宋体" w:eastAsia="宋体" w:hAnsi="宋体" w:cs="Tahoma"/>
          <w:color w:val="444444"/>
          <w:kern w:val="0"/>
          <w:sz w:val="26"/>
          <w:szCs w:val="26"/>
        </w:rPr>
      </w:pPr>
      <w:r w:rsidRPr="00D1348E">
        <w:rPr>
          <w:rFonts w:ascii="宋体" w:eastAsia="宋体" w:hAnsi="宋体" w:cs="Tahoma" w:hint="eastAsia"/>
          <w:color w:val="333333"/>
          <w:kern w:val="0"/>
          <w:sz w:val="26"/>
          <w:szCs w:val="26"/>
        </w:rPr>
        <w:t>国科发资〔2016〕104号</w:t>
      </w:r>
    </w:p>
    <w:p w:rsidR="00D1348E" w:rsidRPr="00D1348E" w:rsidRDefault="00D1348E" w:rsidP="00D1348E">
      <w:pPr>
        <w:widowControl/>
        <w:snapToGrid w:val="0"/>
        <w:spacing w:before="100" w:after="100" w:line="450" w:lineRule="atLeast"/>
        <w:jc w:val="left"/>
        <w:rPr>
          <w:rFonts w:ascii="宋体" w:eastAsia="宋体" w:hAnsi="宋体" w:cs="Tahoma"/>
          <w:color w:val="444444"/>
          <w:kern w:val="0"/>
          <w:sz w:val="26"/>
          <w:szCs w:val="26"/>
        </w:rPr>
      </w:pPr>
      <w:r w:rsidRPr="00D1348E">
        <w:rPr>
          <w:rFonts w:ascii="宋体" w:eastAsia="宋体" w:hAnsi="宋体" w:cs="Tahoma" w:hint="eastAsia"/>
          <w:color w:val="333333"/>
          <w:kern w:val="0"/>
          <w:sz w:val="26"/>
          <w:szCs w:val="26"/>
        </w:rPr>
        <w:t>各省、自治区、直辖市及计划单列市科技厅（委、局），新疆生产建设兵团科技局，国务院各有关部门科技主管司局，各有关单位：</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国务院关于深化中央财政科技计划（专项、基金等）管理改革的方案》（国发〔2014〕64号，以下简称国发64号文件）明确规定，国家重点研发计划针对事关国计民生需要长期演进的重大社会公益性研究，以及事关产业核心竞争力、整体自主创新能力和国家安全的重大科学问题、重大共性关键技术和产品、重大国际科技合作，按照重点专项的方式组织实施，加强跨部门、跨行业、跨区域研发布局和协同创新，为国民经济和社会发展主要领域提供持续性的支撑和引领。重点专项是国家重点研发计划组织实施的载体，是聚焦国家重大战略任务、围绕解决当前国家发展面临的瓶颈和突出问题、以目标为导向的重大项目群。重点专项按程序报批后，交由相关专业机构负责具体项目管理工作。</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按照国发64号文件的要求，科技部会同相关部门，根据“自上而下”和“自下而上”相结合的原则，遵循国家重点研发计划新的项目形成机制，面向2016年凝练形成了若干重点专项并研究编制了各重点专项实施方案，已经国家科技计划（专项、基金等）管理战略咨询与综合评审特邀委员会（以下简称“特邀咨评委”）和部际联席会议审议通过，并按程序报国务院批复同意。根据“成熟一批、启动一批”的原则，现将“重大慢性非传染性疾病防控研究”、“海洋环境安全保障”2个重点专项2016年度项目申报指南予以公布。请根据指南要求组织项目申报工作。有关事项通知如下。</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一、项目组织申报要求及评审流程</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lastRenderedPageBreak/>
        <w:t xml:space="preserve">  1. 申报单位根据指南支持方向的研究内容以项目形式组织申报，根据项目不同特点可设任务（或课题）。项目应整体申报，须覆盖相应指南方向的全部考核指标。项目申报单位推荐一名科研人员作为项目负责人，每个任务（或课题）设1名负责人，项目负责人可作为其中1个任务（或课题）负责人。</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2. 项目的组织实施应整合集成全国相关领域的优势创新团队，聚焦研发问题，强化基础研究、共性关键技术研发和典型应用示范各项任务间的统筹衔接，集中力量，联合攻关。</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3. 国家重点研发计划项目申报评审采取填写预申报书、正式申报书两步进行，具体工作流程如下：</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项目申报单位根据指南相关申报要求，通过国家科技管理信息系统填写并提交3000字左右的项目预申报书，详细说明申报项目的目标和指标，简要说明创新思路、技术路线和研究基础。项目申报单位与所有参与单位签署联合申报协议，并签署项目申报单位及项目负责人诚信承诺书。从指南发布日到预申报书受理截止日不少于30天。</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——各推荐单位参考往年推荐规模，加强对所推荐的项目申报单位及其合作方的资质、科研能力的审核把关，按时将推荐项目通过国家科技管理信息系统统一报送。</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专业机构在受理项目预申报后，组织形式审查，并开展首轮评审工作。首轮评审不需要项目负责人进行答辩。根据专家的会议评审结果，遴选出3—4倍于拟立项数量的申报项目，确定进入下一步答辩评审。对于未进入答辩评审的申报项目，及时将意见反馈项目申报单位和负责人。</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——申报单位在接到专业机构关于进入答辩评审的通知后，通过国家科技管理信息系统填写并提交项目正式申报书。从接到通知日到正式申报书受理截止日不少于20天。</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——专业机构对进入正式评审的项目申报书进行形式审查，并组织会议答辩评审。申报项目的负责人通过网络视频进行报告答辩。专业机构将根据专家评议情况择优建议立项。</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二、组织申报的推荐单位</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1. 国务院有关部门科技主管司局；</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2. 各省、自治区、直辖市、计划单列市及新疆生产建设兵团科技主管</w:t>
      </w:r>
      <w:r w:rsidRPr="00D1348E">
        <w:rPr>
          <w:rFonts w:ascii="宋体" w:eastAsia="宋体" w:hAnsi="宋体" w:cs="Tahoma" w:hint="eastAsia"/>
          <w:color w:val="333333"/>
          <w:kern w:val="0"/>
          <w:sz w:val="26"/>
          <w:szCs w:val="26"/>
        </w:rPr>
        <w:lastRenderedPageBreak/>
        <w:t>部门；</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3. 原工业部门转制成立的行业协会；</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4. 纳入科技部试点范围并评估结果为A类的产业技术创新战略联盟，以及纳入科技部、财政部开展的科技服务业创新发展行业试点联盟。</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将在国家科技管理信息系统公共服务平台上公开发布。</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三、申请资格要求</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1. 申报单位应为中国大陆境内注册1年以上（注册时间为2015年3月31日前）的科研院所、高等学校和企业等，具有独立法人资格，有较强的科技研发能力和条件，运行管理规范。政府机关不得作为申报单位进行申报。申报单位同一项目须通过单个推荐单位申报，不得多头申报和重复申报。</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2. 项目（含任务或课题）负责人须具有高级职称或博士学位，申报当年不超过60周岁（1956年1月1日以后出生），工作时间每年不得少于6个月。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3. 项目（含任务或课题）负责人限申报1个项目，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的在研项目（含任务或课题）负责人不得牵头申报国家重点研发计划重点专项项目（含任务或课题）；项目主要参加人员的申报项目和改革前计划、国家科技重大专项在研项目总数不得超过2个；改革前计划、国家科技重大专项的在研项目（含任务或课题）负责人不得因申报国家重点研发计划重点专项项目（含任务或课题）而退出目前承担的项目（含任务或课题）。计划任务书执行期到2016年12月底之前的在</w:t>
      </w:r>
      <w:r w:rsidRPr="00D1348E">
        <w:rPr>
          <w:rFonts w:ascii="宋体" w:eastAsia="宋体" w:hAnsi="宋体" w:cs="Tahoma" w:hint="eastAsia"/>
          <w:color w:val="333333"/>
          <w:kern w:val="0"/>
          <w:sz w:val="26"/>
          <w:szCs w:val="26"/>
        </w:rPr>
        <w:lastRenderedPageBreak/>
        <w:t>研项目（含任务或课题）不在限项范围内。</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4. 特邀咨评委委员及参与重点专项咨询评议的专家，不能申报本人参与咨询和论证过的重点专项项目（含任务或课题）；参与重点专项实施方案或本年度项目指南编制的专家，不能申报该重点专项项目（含任务或课题）。</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5.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6. 申报项目受理后，原则上不能更改申报单位和负责人。</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7. 项目的具体申报要求，详见各重点专项的申报指南。</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各申报单位在正式提交项目申报书前可利用国家科技管理信息系统公共服务平台查询相关参与人员承担改革前计划和国家科技重大专项在研项目（含任务或课题）情况，避免重复申报。</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四、具体申报方式</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1. 网上填报。请各申报单位按要求通过国家科技管理信息系统公共服务平台进行网上填报。专业机构将以网上填报的申报书作为后续形式审查、项目评审的依据。预申报书格式在国家科技管理信息系统公共服务平台相关专栏下载。</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项目申报单位网上填报预申报书的受理时间为：2016年4月19日8：00至5月9日17：00。申报项目通过首轮评审后，申报单位进一步按要求填报正式申报书，并通过国家科技管理信息系统提交，具体时间和有关要求另行通知。</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国家科技管理信息系统公共服务平台：http：//</w:t>
      </w:r>
      <w:proofErr w:type="spellStart"/>
      <w:r w:rsidRPr="00D1348E">
        <w:rPr>
          <w:rFonts w:ascii="宋体" w:eastAsia="宋体" w:hAnsi="宋体" w:cs="Tahoma" w:hint="eastAsia"/>
          <w:color w:val="333333"/>
          <w:kern w:val="0"/>
          <w:sz w:val="26"/>
          <w:szCs w:val="26"/>
        </w:rPr>
        <w:t>service.most.gov.cn</w:t>
      </w:r>
      <w:proofErr w:type="spellEnd"/>
      <w:r w:rsidRPr="00D1348E">
        <w:rPr>
          <w:rFonts w:ascii="宋体" w:eastAsia="宋体" w:hAnsi="宋体" w:cs="Tahoma" w:hint="eastAsia"/>
          <w:color w:val="333333"/>
          <w:kern w:val="0"/>
          <w:sz w:val="26"/>
          <w:szCs w:val="26"/>
        </w:rPr>
        <w:t>；</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技术咨询电话：010—88659000（中继线）；</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技术咨询邮箱：program@most.cn。</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2. 组织推荐。请各推荐单位于2016年5月11日前（以寄出时间为准），将加盖推荐单位公章的推荐函（纸质，一式2份）、推荐项目清单（纸质，一式2份）寄送科技部信息中心。推荐项目清单须通过系统直接生成打印。</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寄送地址：北京市海淀区木樨地茂林居18号写字楼，科技部信息中心协调处，邮编：100038。</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lastRenderedPageBreak/>
        <w:t xml:space="preserve">  联系电话：010—88654074。</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3. 材料报送和业务咨询。请各申报单位于2016年5月11日前（以寄出时间为准），将加盖申报单位公章的预申报书（纸质，一式2份），寄送承担项目所属重点专项管理的专业机构。预申报书须通过系统直接生成打印。</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各重点专项的咨询电话及寄送地址如下：</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（1）“重大慢性非传染性疾病防控研究”重点专项：010—88225169、88225156；</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中国生物技术发展中心，寄送地址：北京市海淀区西四环中路16号院4号楼，邮编：100039。</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（2）“海洋环境安全保障”重点专项：010—58884875、58884871；</w:t>
      </w:r>
      <w:r w:rsidRPr="00D1348E">
        <w:rPr>
          <w:rFonts w:ascii="宋体" w:eastAsia="宋体" w:hAnsi="宋体" w:cs="Tahoma" w:hint="eastAsia"/>
          <w:color w:val="444444"/>
          <w:kern w:val="0"/>
          <w:sz w:val="26"/>
          <w:szCs w:val="26"/>
        </w:rPr>
        <w:br/>
      </w:r>
      <w:r w:rsidRPr="00D1348E">
        <w:rPr>
          <w:rFonts w:ascii="宋体" w:eastAsia="宋体" w:hAnsi="宋体" w:cs="Tahoma" w:hint="eastAsia"/>
          <w:color w:val="333333"/>
          <w:kern w:val="0"/>
          <w:sz w:val="26"/>
          <w:szCs w:val="26"/>
        </w:rPr>
        <w:t xml:space="preserve">  中国21世纪议程管理中心，寄送地址：北京市海淀区玉渊潭南路8号，邮编：100038。</w:t>
      </w:r>
      <w:r w:rsidRPr="00D1348E">
        <w:rPr>
          <w:rFonts w:ascii="宋体" w:eastAsia="宋体" w:hAnsi="宋体" w:cs="Tahoma" w:hint="eastAsia"/>
          <w:color w:val="444444"/>
          <w:kern w:val="0"/>
          <w:sz w:val="26"/>
          <w:szCs w:val="26"/>
        </w:rPr>
        <w:br/>
      </w:r>
    </w:p>
    <w:p w:rsidR="00D1348E" w:rsidRPr="00D1348E" w:rsidRDefault="00D1348E" w:rsidP="00D1348E">
      <w:pPr>
        <w:widowControl/>
        <w:snapToGrid w:val="0"/>
        <w:spacing w:line="450" w:lineRule="atLeast"/>
        <w:jc w:val="right"/>
        <w:rPr>
          <w:rFonts w:ascii="宋体" w:eastAsia="宋体" w:hAnsi="宋体" w:cs="Tahoma"/>
          <w:color w:val="444444"/>
          <w:kern w:val="0"/>
          <w:sz w:val="26"/>
          <w:szCs w:val="26"/>
        </w:rPr>
      </w:pPr>
      <w:r w:rsidRPr="00D1348E">
        <w:rPr>
          <w:rFonts w:ascii="宋体" w:eastAsia="宋体" w:hAnsi="宋体" w:cs="Tahoma" w:hint="eastAsia"/>
          <w:color w:val="333333"/>
          <w:kern w:val="0"/>
          <w:sz w:val="26"/>
          <w:szCs w:val="26"/>
        </w:rPr>
        <w:t xml:space="preserve">科 技 部 </w:t>
      </w:r>
      <w:r w:rsidRPr="00D1348E">
        <w:rPr>
          <w:rFonts w:ascii="宋体" w:eastAsia="宋体" w:hAnsi="宋体" w:cs="Tahoma" w:hint="eastAsia"/>
          <w:color w:val="444444"/>
          <w:kern w:val="0"/>
          <w:sz w:val="26"/>
          <w:szCs w:val="26"/>
        </w:rPr>
        <w:br/>
      </w:r>
    </w:p>
    <w:p w:rsidR="00245261" w:rsidRDefault="00245261"/>
    <w:sectPr w:rsidR="00245261" w:rsidSect="002452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249" w:rsidRDefault="00D46249" w:rsidP="008E0933">
      <w:r>
        <w:separator/>
      </w:r>
    </w:p>
  </w:endnote>
  <w:endnote w:type="continuationSeparator" w:id="0">
    <w:p w:rsidR="00D46249" w:rsidRDefault="00D46249" w:rsidP="008E09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249" w:rsidRDefault="00D46249" w:rsidP="008E0933">
      <w:r>
        <w:separator/>
      </w:r>
    </w:p>
  </w:footnote>
  <w:footnote w:type="continuationSeparator" w:id="0">
    <w:p w:rsidR="00D46249" w:rsidRDefault="00D46249" w:rsidP="008E09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48E"/>
    <w:rsid w:val="00245261"/>
    <w:rsid w:val="003A2B12"/>
    <w:rsid w:val="0069371D"/>
    <w:rsid w:val="008E0933"/>
    <w:rsid w:val="00D1348E"/>
    <w:rsid w:val="00D462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2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D1348E"/>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Char"/>
    <w:uiPriority w:val="99"/>
    <w:semiHidden/>
    <w:unhideWhenUsed/>
    <w:rsid w:val="008E09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E0933"/>
    <w:rPr>
      <w:sz w:val="18"/>
      <w:szCs w:val="18"/>
    </w:rPr>
  </w:style>
  <w:style w:type="paragraph" w:styleId="a4">
    <w:name w:val="footer"/>
    <w:basedOn w:val="a"/>
    <w:link w:val="Char0"/>
    <w:uiPriority w:val="99"/>
    <w:semiHidden/>
    <w:unhideWhenUsed/>
    <w:rsid w:val="008E093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E0933"/>
    <w:rPr>
      <w:sz w:val="18"/>
      <w:szCs w:val="18"/>
    </w:rPr>
  </w:style>
</w:styles>
</file>

<file path=word/webSettings.xml><?xml version="1.0" encoding="utf-8"?>
<w:webSettings xmlns:r="http://schemas.openxmlformats.org/officeDocument/2006/relationships" xmlns:w="http://schemas.openxmlformats.org/wordprocessingml/2006/main">
  <w:divs>
    <w:div w:id="983314339">
      <w:bodyDiv w:val="1"/>
      <w:marLeft w:val="0"/>
      <w:marRight w:val="0"/>
      <w:marTop w:val="0"/>
      <w:marBottom w:val="0"/>
      <w:divBdr>
        <w:top w:val="none" w:sz="0" w:space="0" w:color="auto"/>
        <w:left w:val="none" w:sz="0" w:space="0" w:color="auto"/>
        <w:bottom w:val="none" w:sz="0" w:space="0" w:color="auto"/>
        <w:right w:val="none" w:sz="0" w:space="0" w:color="auto"/>
      </w:divBdr>
      <w:divsChild>
        <w:div w:id="1361710439">
          <w:marLeft w:val="0"/>
          <w:marRight w:val="0"/>
          <w:marTop w:val="150"/>
          <w:marBottom w:val="150"/>
          <w:divBdr>
            <w:top w:val="none" w:sz="0" w:space="0" w:color="auto"/>
            <w:left w:val="none" w:sz="0" w:space="0" w:color="auto"/>
            <w:bottom w:val="none" w:sz="0" w:space="0" w:color="auto"/>
            <w:right w:val="none" w:sz="0" w:space="0" w:color="auto"/>
          </w:divBdr>
          <w:divsChild>
            <w:div w:id="1724600538">
              <w:marLeft w:val="0"/>
              <w:marRight w:val="0"/>
              <w:marTop w:val="0"/>
              <w:marBottom w:val="0"/>
              <w:divBdr>
                <w:top w:val="none" w:sz="0" w:space="0" w:color="auto"/>
                <w:left w:val="none" w:sz="0" w:space="0" w:color="auto"/>
                <w:bottom w:val="none" w:sz="0" w:space="0" w:color="auto"/>
                <w:right w:val="none" w:sz="0" w:space="0" w:color="auto"/>
              </w:divBdr>
              <w:divsChild>
                <w:div w:id="152911819">
                  <w:marLeft w:val="0"/>
                  <w:marRight w:val="0"/>
                  <w:marTop w:val="0"/>
                  <w:marBottom w:val="300"/>
                  <w:divBdr>
                    <w:top w:val="none" w:sz="0" w:space="0" w:color="auto"/>
                    <w:left w:val="none" w:sz="0" w:space="0" w:color="auto"/>
                    <w:bottom w:val="dashed" w:sz="6" w:space="0" w:color="999999"/>
                    <w:right w:val="none" w:sz="0" w:space="0" w:color="auto"/>
                  </w:divBdr>
                </w:div>
                <w:div w:id="202809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551</Words>
  <Characters>3143</Characters>
  <Application>Microsoft Office Word</Application>
  <DocSecurity>0</DocSecurity>
  <Lines>26</Lines>
  <Paragraphs>7</Paragraphs>
  <ScaleCrop>false</ScaleCrop>
  <Company/>
  <LinksUpToDate>false</LinksUpToDate>
  <CharactersWithSpaces>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2016-04-11T02:54:00Z</dcterms:created>
  <dcterms:modified xsi:type="dcterms:W3CDTF">2016-04-11T08:00:00Z</dcterms:modified>
</cp:coreProperties>
</file>